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BB" w:rsidRDefault="00C15B04">
      <w:pPr>
        <w:pStyle w:val="Norml1"/>
        <w:jc w:val="center"/>
        <w:rPr>
          <w:b/>
          <w:i/>
          <w:spacing w:val="100"/>
        </w:rPr>
      </w:pPr>
      <w:r>
        <w:rPr>
          <w:b/>
          <w:i/>
          <w:spacing w:val="100"/>
        </w:rPr>
        <w:t>3.Napirendi pont</w:t>
      </w:r>
    </w:p>
    <w:p w:rsidR="005405BB" w:rsidRDefault="005405BB">
      <w:pPr>
        <w:pStyle w:val="Norml1"/>
        <w:jc w:val="center"/>
        <w:outlineLvl w:val="0"/>
        <w:rPr>
          <w:rFonts w:ascii="Times New Roman" w:hAnsi="Times New Roman" w:cs="Times New Roman"/>
          <w:b/>
          <w:i/>
          <w:spacing w:val="100"/>
        </w:rPr>
      </w:pPr>
    </w:p>
    <w:p w:rsidR="005405BB" w:rsidRDefault="005405BB">
      <w:pPr>
        <w:pStyle w:val="Norml1"/>
        <w:jc w:val="center"/>
        <w:outlineLvl w:val="0"/>
        <w:rPr>
          <w:rFonts w:ascii="Times New Roman" w:hAnsi="Times New Roman" w:cs="Times New Roman"/>
          <w:b/>
          <w:i/>
          <w:spacing w:val="100"/>
        </w:rPr>
      </w:pPr>
    </w:p>
    <w:p w:rsidR="005405BB" w:rsidRDefault="005405BB">
      <w:pPr>
        <w:pStyle w:val="Norml1"/>
        <w:jc w:val="center"/>
        <w:outlineLvl w:val="0"/>
        <w:rPr>
          <w:rFonts w:ascii="Times New Roman" w:hAnsi="Times New Roman" w:cs="Times New Roman"/>
          <w:b/>
          <w:i/>
          <w:spacing w:val="100"/>
        </w:rPr>
      </w:pPr>
    </w:p>
    <w:p w:rsidR="005405BB" w:rsidRDefault="005405BB">
      <w:pPr>
        <w:pStyle w:val="Norml1"/>
        <w:jc w:val="center"/>
        <w:outlineLvl w:val="0"/>
        <w:rPr>
          <w:rFonts w:ascii="Times New Roman" w:hAnsi="Times New Roman" w:cs="Times New Roman"/>
          <w:b/>
          <w:i/>
          <w:spacing w:val="100"/>
        </w:rPr>
      </w:pPr>
    </w:p>
    <w:p w:rsidR="005405BB" w:rsidRDefault="005405BB">
      <w:pPr>
        <w:pStyle w:val="Norml1"/>
        <w:jc w:val="center"/>
        <w:outlineLvl w:val="0"/>
        <w:rPr>
          <w:rFonts w:ascii="Times New Roman" w:hAnsi="Times New Roman" w:cs="Times New Roman"/>
          <w:b/>
          <w:i/>
          <w:spacing w:val="100"/>
        </w:rPr>
      </w:pPr>
    </w:p>
    <w:p w:rsidR="005405BB" w:rsidRDefault="00C15B04">
      <w:pPr>
        <w:pStyle w:val="Norml1"/>
        <w:jc w:val="center"/>
        <w:outlineLvl w:val="0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i/>
          <w:spacing w:val="100"/>
          <w:sz w:val="32"/>
          <w:szCs w:val="32"/>
        </w:rPr>
        <w:t>ELŐTERJESZTÉS</w:t>
      </w:r>
    </w:p>
    <w:p w:rsidR="005405BB" w:rsidRDefault="005405BB">
      <w:pPr>
        <w:pStyle w:val="Norml1"/>
        <w:jc w:val="center"/>
        <w:outlineLvl w:val="0"/>
        <w:rPr>
          <w:rFonts w:ascii="Times New Roman" w:hAnsi="Times New Roman" w:cs="Times New Roman"/>
          <w:b/>
          <w:i/>
          <w:spacing w:val="100"/>
        </w:rPr>
      </w:pPr>
    </w:p>
    <w:p w:rsidR="005405BB" w:rsidRDefault="005405BB">
      <w:pPr>
        <w:pStyle w:val="Norml1"/>
        <w:jc w:val="center"/>
        <w:outlineLvl w:val="0"/>
        <w:rPr>
          <w:rFonts w:ascii="Times New Roman" w:hAnsi="Times New Roman" w:cs="Times New Roman"/>
          <w:b/>
          <w:i/>
          <w:spacing w:val="100"/>
        </w:rPr>
      </w:pPr>
    </w:p>
    <w:p w:rsidR="005405BB" w:rsidRDefault="00C15B04">
      <w:pPr>
        <w:pStyle w:val="Norml1"/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Alcsútdoboz Település Önkormányzat Képviselő-testületének</w:t>
      </w:r>
    </w:p>
    <w:p w:rsidR="005405BB" w:rsidRDefault="00C15B04">
      <w:pPr>
        <w:pStyle w:val="Norml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2017. március 30-i ülésére</w:t>
      </w:r>
    </w:p>
    <w:p w:rsidR="005405BB" w:rsidRDefault="005405BB">
      <w:pPr>
        <w:pStyle w:val="Norml1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jc w:val="both"/>
        <w:rPr>
          <w:rFonts w:ascii="Times New Roman" w:hAnsi="Times New Roman" w:cs="Times New Roman"/>
          <w:i/>
        </w:rPr>
      </w:pPr>
    </w:p>
    <w:p w:rsidR="005405BB" w:rsidRDefault="00C15B04">
      <w:pPr>
        <w:pStyle w:val="Norml1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u w:val="single"/>
        </w:rPr>
        <w:t>Előterjesztés címe és tárgya</w:t>
      </w:r>
      <w:r>
        <w:rPr>
          <w:rFonts w:ascii="Times New Roman" w:eastAsia="Calibri" w:hAnsi="Times New Roman" w:cs="Times New Roman"/>
          <w:i/>
          <w:u w:val="single"/>
        </w:rPr>
        <w:t>:</w:t>
      </w:r>
      <w:r>
        <w:rPr>
          <w:rFonts w:ascii="Times New Roman" w:eastAsia="Calibri" w:hAnsi="Times New Roman" w:cs="Times New Roman"/>
          <w:i/>
        </w:rPr>
        <w:t xml:space="preserve"> </w:t>
      </w:r>
    </w:p>
    <w:p w:rsidR="005405BB" w:rsidRDefault="00C15B04">
      <w:pPr>
        <w:pStyle w:val="Norml1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Alcsútdoboz Település Önkormányzat 2017. évi közbeszerzési terve</w:t>
      </w: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C15B04">
      <w:pPr>
        <w:pStyle w:val="Norml1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Tárgykört rendező jogszabály:</w:t>
      </w:r>
    </w:p>
    <w:p w:rsidR="005405BB" w:rsidRDefault="00C15B04">
      <w:pPr>
        <w:pStyle w:val="Norml1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a közbeszerzésekről szóló 2015. évi CXLIII. törvény</w:t>
      </w: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b/>
          <w:i/>
          <w:u w:val="single"/>
        </w:rPr>
      </w:pPr>
    </w:p>
    <w:p w:rsidR="005405BB" w:rsidRDefault="00C15B04">
      <w:pPr>
        <w:pStyle w:val="Norml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Előterjesztő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Tóth Erika polgármester</w:t>
      </w:r>
    </w:p>
    <w:p w:rsidR="005405BB" w:rsidRDefault="00C15B04">
      <w:pPr>
        <w:pStyle w:val="Norml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Az előterjesztést készítette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ab/>
        <w:t>Dr. Sisa András jegyző</w:t>
      </w: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5405BB">
      <w:pPr>
        <w:pStyle w:val="Norml1"/>
        <w:rPr>
          <w:rFonts w:ascii="Times New Roman" w:hAnsi="Times New Roman" w:cs="Times New Roman"/>
          <w:i/>
        </w:rPr>
      </w:pPr>
    </w:p>
    <w:p w:rsidR="005405BB" w:rsidRDefault="00C15B04">
      <w:pPr>
        <w:pStyle w:val="Norml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Tisztelt Képviselő-testület!</w:t>
      </w: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közbeszerzésekről szóló 2015. CXLIII. törvény 42. § (1) bekezdése alapján évente –legkésőbb március 31. napjáig – az önkormányzat által az adott évre tervezett közbeszerzésekről összesített közbeszerzési tervet kell készíteni.</w:t>
      </w:r>
    </w:p>
    <w:p w:rsidR="005405BB" w:rsidRDefault="00C15B04">
      <w:pPr>
        <w:pStyle w:val="Norml1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5405BB" w:rsidRDefault="00C15B04">
      <w:pPr>
        <w:pStyle w:val="Norml1"/>
        <w:jc w:val="both"/>
      </w:pPr>
      <w:r>
        <w:rPr>
          <w:rFonts w:ascii="Times New Roman" w:hAnsi="Times New Roman" w:cs="Times New Roman"/>
          <w:i/>
        </w:rPr>
        <w:t xml:space="preserve">Önkormányzatunk </w:t>
      </w:r>
      <w:proofErr w:type="gramStart"/>
      <w:r>
        <w:rPr>
          <w:rFonts w:ascii="Times New Roman" w:hAnsi="Times New Roman" w:cs="Times New Roman"/>
          <w:i/>
        </w:rPr>
        <w:t xml:space="preserve">2017. </w:t>
      </w:r>
      <w:r w:rsidRPr="00C15B04">
        <w:rPr>
          <w:rFonts w:ascii="Times New Roman" w:hAnsi="Times New Roman" w:cs="Times New Roman"/>
          <w:i/>
          <w:color w:val="000000" w:themeColor="text1"/>
        </w:rPr>
        <w:t xml:space="preserve"> évben</w:t>
      </w:r>
      <w:proofErr w:type="gramEnd"/>
      <w:r w:rsidRPr="00C15B04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</w:rPr>
        <w:t>a költségvetési rendele</w:t>
      </w:r>
      <w:r w:rsidRPr="00C15B04">
        <w:rPr>
          <w:rFonts w:ascii="Times New Roman" w:hAnsi="Times New Roman" w:cs="Times New Roman"/>
          <w:i/>
          <w:color w:val="000000" w:themeColor="text1"/>
        </w:rPr>
        <w:t>té</w:t>
      </w:r>
      <w:r>
        <w:rPr>
          <w:rFonts w:ascii="Times New Roman" w:hAnsi="Times New Roman" w:cs="Times New Roman"/>
          <w:i/>
        </w:rPr>
        <w:t xml:space="preserve">be betervezett közbeszerzés-köteles </w:t>
      </w:r>
      <w:r w:rsidRPr="00C15B04">
        <w:rPr>
          <w:rFonts w:ascii="Times New Roman" w:hAnsi="Times New Roman" w:cs="Times New Roman"/>
          <w:i/>
          <w:color w:val="000000" w:themeColor="text1"/>
        </w:rPr>
        <w:t>beruházásokat</w:t>
      </w:r>
      <w:r>
        <w:rPr>
          <w:rFonts w:ascii="Times New Roman" w:hAnsi="Times New Roman" w:cs="Times New Roman"/>
          <w:i/>
        </w:rPr>
        <w:t xml:space="preserve"> kívánja lefolytatni, a határozat mellékletét képező eljárásrend és ütemezés szerint.</w:t>
      </w:r>
    </w:p>
    <w:p w:rsidR="005405BB" w:rsidRDefault="005405BB">
      <w:pPr>
        <w:pStyle w:val="Norml1"/>
        <w:jc w:val="both"/>
        <w:rPr>
          <w:rFonts w:ascii="Times New Roman" w:hAnsi="Times New Roman" w:cs="Times New Roman"/>
          <w:i/>
        </w:rPr>
      </w:pP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Amennyiben az év során olyan árubeszerzésre, építési beruházásra, illetve szolgáltatás-megrendelésre lesz igény (pl. évközben nyert pályázat miatt), melynek értéke eléri vagy meghaladja a közbeszerzési értékhatárt, akkor a bekövetkező változásokra tekintettel a közbeszerzési tervet módosítani kell.</w:t>
      </w:r>
    </w:p>
    <w:p w:rsidR="005405BB" w:rsidRDefault="00C15B04">
      <w:pPr>
        <w:pStyle w:val="Norml1"/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A 2017. évi nemzeti közbeszerzési értékhatárokat Magyarország 2017. évi központi költségvetéséről szóló 2016. évi XC. törvény 70. §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-a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határozza meg, melyek az alábbiak:</w:t>
      </w:r>
    </w:p>
    <w:p w:rsidR="005405BB" w:rsidRDefault="005405BB">
      <w:pPr>
        <w:pStyle w:val="Norml1"/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5405BB" w:rsidRDefault="00C15B04">
      <w:pPr>
        <w:pStyle w:val="Norml1"/>
        <w:ind w:left="567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Árubeszerzés esetén: 15 millió forint, </w:t>
      </w:r>
    </w:p>
    <w:p w:rsidR="005405BB" w:rsidRDefault="00C15B04">
      <w:pPr>
        <w:pStyle w:val="Norml1"/>
        <w:ind w:left="567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Építési beruházás esetén: 25 millió forint, </w:t>
      </w:r>
    </w:p>
    <w:p w:rsidR="005405BB" w:rsidRDefault="00C15B04">
      <w:pPr>
        <w:pStyle w:val="Norml1"/>
        <w:ind w:left="567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Építési koncesszió esetén: 100 millió forint, </w:t>
      </w:r>
    </w:p>
    <w:p w:rsidR="005405BB" w:rsidRDefault="00C15B04">
      <w:pPr>
        <w:pStyle w:val="Norml1"/>
        <w:ind w:left="567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Szolgáltatás megrendelése esetén: 15 millió forint, </w:t>
      </w:r>
    </w:p>
    <w:p w:rsidR="005405BB" w:rsidRDefault="00C15B04">
      <w:pPr>
        <w:pStyle w:val="Norml1"/>
        <w:ind w:left="567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i/>
          <w:color w:val="000000" w:themeColor="text1"/>
        </w:rPr>
        <w:t>Szolgáltatási koncesszió esetén: 30 millió forint</w:t>
      </w:r>
      <w:r>
        <w:rPr>
          <w:color w:val="000000" w:themeColor="text1"/>
        </w:rPr>
        <w:t>.</w:t>
      </w:r>
    </w:p>
    <w:p w:rsidR="005405BB" w:rsidRDefault="005405BB">
      <w:pPr>
        <w:pStyle w:val="Norml1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Az uniós közbeszerzési értékhatárokat az Európai Bizottság állapítja meg és teszi közzé. </w:t>
      </w: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 Közbeszerzési Hatóság Elnöke által kiadott tájékoztató tartalmazza az uniós közbeszerzési értékhatárok magyar nemzeti valutának megfelelő értékét, melyek az alábbiak: </w:t>
      </w:r>
    </w:p>
    <w:p w:rsidR="005405BB" w:rsidRDefault="005405BB">
      <w:pPr>
        <w:pStyle w:val="Norml1"/>
        <w:jc w:val="both"/>
        <w:rPr>
          <w:rFonts w:ascii="Times New Roman" w:hAnsi="Times New Roman" w:cs="Times New Roman"/>
          <w:i/>
        </w:rPr>
      </w:pP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Árubeszerzés és szolgáltatás megrendelés esetén: </w:t>
      </w: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- a Kbt. 5. § (1) bekezdés a)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-b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) pontjában meghatározott ajánlatkérők esetében, valamint ezen ajánlatkérők esetében a védelem terén beszerzendő árukra akkor, ha a védelem terén a beszerzendő áru a Kbt. 2. mellékletében szerepel: 135 000 euro;</w:t>
      </w: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- a Kbt. 5. §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-a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szerinti egyéb ajánlatkérő esetében, valamint a Kbt. 5. § (1) bekezdés a)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-b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) pontjában meghatározott ajánlatkérők esetében, ha a védelem terén a beszerzendő áru a 2. mellékletben nem szerepel: 209 000 euro; </w:t>
      </w:r>
    </w:p>
    <w:p w:rsidR="005405BB" w:rsidRDefault="005405BB">
      <w:pPr>
        <w:pStyle w:val="Norml1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  <w:u w:val="single"/>
        </w:rPr>
        <w:t>Építési beruházás esetén</w:t>
      </w:r>
      <w:r>
        <w:rPr>
          <w:rFonts w:ascii="Times New Roman" w:hAnsi="Times New Roman" w:cs="Times New Roman"/>
          <w:i/>
          <w:color w:val="000000" w:themeColor="text1"/>
        </w:rPr>
        <w:t xml:space="preserve">: </w:t>
      </w: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- 5 225 000 euro, </w:t>
      </w:r>
    </w:p>
    <w:p w:rsidR="005405BB" w:rsidRDefault="005405BB">
      <w:pPr>
        <w:pStyle w:val="Norml1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  <w:u w:val="single"/>
        </w:rPr>
        <w:t>Építési koncesszió esetén: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- 5 186 000 euro </w:t>
      </w:r>
    </w:p>
    <w:p w:rsidR="005405BB" w:rsidRDefault="005405BB">
      <w:pPr>
        <w:pStyle w:val="Lbjegyzetszveg"/>
        <w:jc w:val="both"/>
        <w:rPr>
          <w:i/>
          <w:color w:val="000000" w:themeColor="text1"/>
          <w:sz w:val="24"/>
          <w:szCs w:val="24"/>
        </w:rPr>
      </w:pP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 w:themeColor="text1"/>
        </w:rPr>
        <w:t>A közbeszerzési t</w:t>
      </w:r>
      <w:r>
        <w:rPr>
          <w:rFonts w:ascii="Times New Roman" w:hAnsi="Times New Roman" w:cs="Times New Roman"/>
          <w:i/>
        </w:rPr>
        <w:t>erv nyilvános. A Közbeszerzési Hatóság vagy a jogszabályban az ellenőrzésre feljogosított szerv a közbeszerzési terv megküldését kérheti. A tervet 5 évig meg kell őrizni.</w:t>
      </w: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C15B04">
      <w:pPr>
        <w:pStyle w:val="Norml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Kérem az előterjesztés megvitatását és döntésük meghozatalát.</w:t>
      </w:r>
    </w:p>
    <w:p w:rsidR="005405BB" w:rsidRDefault="00C15B04">
      <w:pPr>
        <w:pStyle w:val="Norml1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5405BB" w:rsidRDefault="00C15B04">
      <w:pPr>
        <w:pStyle w:val="Norml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Alcsútdoboz, 2017. március 21. </w:t>
      </w:r>
    </w:p>
    <w:p w:rsidR="005405BB" w:rsidRDefault="00C15B04">
      <w:pPr>
        <w:pStyle w:val="Norml1"/>
        <w:ind w:firstLine="439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  <w:t xml:space="preserve">       </w:t>
      </w:r>
      <w:r>
        <w:rPr>
          <w:rFonts w:ascii="Times New Roman" w:hAnsi="Times New Roman" w:cs="Times New Roman"/>
          <w:b/>
          <w:i/>
        </w:rPr>
        <w:t>Tóth Erika</w:t>
      </w:r>
    </w:p>
    <w:p w:rsidR="005405BB" w:rsidRDefault="00C15B04">
      <w:pPr>
        <w:pStyle w:val="Norml1"/>
        <w:ind w:firstLine="439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i/>
        </w:rPr>
        <w:t>polgármester</w:t>
      </w:r>
      <w:proofErr w:type="gramEnd"/>
    </w:p>
    <w:p w:rsidR="005405BB" w:rsidRDefault="00C15B04">
      <w:pPr>
        <w:pStyle w:val="Norml1"/>
        <w:rPr>
          <w:rFonts w:ascii="Times New Roman" w:hAnsi="Times New Roman" w:cs="Times New Roman"/>
          <w:i/>
        </w:rPr>
      </w:pPr>
      <w:r>
        <w:br w:type="page"/>
      </w:r>
    </w:p>
    <w:p w:rsidR="005405BB" w:rsidRDefault="005405BB">
      <w:pPr>
        <w:pStyle w:val="Norml1"/>
        <w:ind w:firstLine="708"/>
        <w:rPr>
          <w:rFonts w:ascii="Times New Roman" w:hAnsi="Times New Roman" w:cs="Times New Roman"/>
          <w:i/>
        </w:rPr>
      </w:pPr>
    </w:p>
    <w:p w:rsidR="005405BB" w:rsidRDefault="00C15B04">
      <w:pPr>
        <w:pStyle w:val="Norml1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HATÁROZATI JAVASLAT</w:t>
      </w:r>
    </w:p>
    <w:p w:rsidR="005405BB" w:rsidRDefault="005405BB">
      <w:pPr>
        <w:pStyle w:val="Norml1"/>
        <w:rPr>
          <w:rFonts w:ascii="Times New Roman" w:hAnsi="Times New Roman" w:cs="Times New Roman"/>
          <w:b/>
          <w:i/>
          <w:u w:val="single"/>
        </w:rPr>
      </w:pPr>
    </w:p>
    <w:p w:rsidR="005405BB" w:rsidRDefault="005405BB">
      <w:pPr>
        <w:pStyle w:val="Norml1"/>
        <w:rPr>
          <w:rFonts w:ascii="Times New Roman" w:hAnsi="Times New Roman" w:cs="Times New Roman"/>
          <w:b/>
          <w:i/>
          <w:u w:val="single"/>
        </w:rPr>
      </w:pPr>
    </w:p>
    <w:p w:rsidR="005405BB" w:rsidRDefault="005405BB">
      <w:pPr>
        <w:pStyle w:val="Norml1"/>
        <w:jc w:val="center"/>
        <w:rPr>
          <w:rFonts w:ascii="Times New Roman" w:hAnsi="Times New Roman" w:cs="Times New Roman"/>
          <w:b/>
          <w:i/>
        </w:rPr>
      </w:pPr>
    </w:p>
    <w:p w:rsidR="005405BB" w:rsidRDefault="00C15B04">
      <w:pPr>
        <w:pStyle w:val="Norml1"/>
        <w:tabs>
          <w:tab w:val="left" w:leader="dot" w:pos="1080"/>
          <w:tab w:val="left" w:leader="dot" w:pos="3240"/>
        </w:tabs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Alcsútdoboz Település Önkormányzat Képviselő-testületének</w:t>
      </w:r>
    </w:p>
    <w:p w:rsidR="005405BB" w:rsidRDefault="00C15B04">
      <w:pPr>
        <w:pStyle w:val="Norml1"/>
        <w:ind w:right="2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…./2017. (III.30.) </w:t>
      </w:r>
      <w:r>
        <w:rPr>
          <w:rFonts w:ascii="Times New Roman" w:hAnsi="Times New Roman" w:cs="Times New Roman"/>
          <w:b/>
          <w:i/>
          <w:color w:val="000000"/>
        </w:rPr>
        <w:t>számú határozata</w:t>
      </w:r>
    </w:p>
    <w:p w:rsidR="005405BB" w:rsidRDefault="00C15B04">
      <w:pPr>
        <w:pStyle w:val="Norml1"/>
        <w:tabs>
          <w:tab w:val="left" w:leader="dot" w:pos="1080"/>
          <w:tab w:val="left" w:leader="dot" w:pos="3240"/>
        </w:tabs>
        <w:jc w:val="center"/>
        <w:rPr>
          <w:rFonts w:ascii="Times New Roman" w:eastAsia="Calibri" w:hAnsi="Times New Roman" w:cs="Times New Roman"/>
          <w:b/>
          <w:i/>
        </w:rPr>
      </w:pPr>
      <w:proofErr w:type="gramStart"/>
      <w:r>
        <w:rPr>
          <w:rFonts w:ascii="Times New Roman" w:eastAsia="Calibri" w:hAnsi="Times New Roman" w:cs="Times New Roman"/>
          <w:b/>
          <w:i/>
        </w:rPr>
        <w:t>a</w:t>
      </w:r>
      <w:proofErr w:type="gramEnd"/>
      <w:r>
        <w:rPr>
          <w:rFonts w:ascii="Times New Roman" w:eastAsia="Calibri" w:hAnsi="Times New Roman" w:cs="Times New Roman"/>
          <w:b/>
          <w:i/>
        </w:rPr>
        <w:t xml:space="preserve"> 2017. évi közbeszerzési tervről</w:t>
      </w:r>
    </w:p>
    <w:p w:rsidR="005405BB" w:rsidRDefault="005405BB">
      <w:pPr>
        <w:pStyle w:val="Norml1"/>
        <w:jc w:val="both"/>
        <w:rPr>
          <w:rFonts w:ascii="Times New Roman" w:hAnsi="Times New Roman" w:cs="Times New Roman"/>
          <w:b/>
          <w:i/>
        </w:rPr>
      </w:pPr>
    </w:p>
    <w:p w:rsidR="005405BB" w:rsidRDefault="00C15B04">
      <w:pPr>
        <w:pStyle w:val="Norml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Alcsútdoboz Település Önkormányzat Képviselő-testülete 2017. évre – közbeszerzésekről szóló 2015. CXLIII. törvény 42. § (1) bekezdése alapján – a határozat melléklete szerinti tartalmú közbeszerzési tervet jóváhagyja.</w:t>
      </w:r>
    </w:p>
    <w:p w:rsidR="005405BB" w:rsidRDefault="00C15B04">
      <w:pPr>
        <w:pStyle w:val="Norml1"/>
        <w:ind w:firstLine="48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Határidő:</w:t>
      </w:r>
      <w:r>
        <w:rPr>
          <w:rFonts w:ascii="Times New Roman" w:hAnsi="Times New Roman" w:cs="Times New Roman"/>
          <w:i/>
        </w:rPr>
        <w:tab/>
        <w:t>március 31.</w:t>
      </w:r>
    </w:p>
    <w:p w:rsidR="005405BB" w:rsidRDefault="00C15B04">
      <w:pPr>
        <w:pStyle w:val="Norml1"/>
        <w:ind w:firstLine="48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Felelős: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polgármester</w:t>
      </w:r>
    </w:p>
    <w:p w:rsidR="005405BB" w:rsidRDefault="005405BB">
      <w:pPr>
        <w:pStyle w:val="Norml1"/>
        <w:ind w:firstLine="4820"/>
        <w:rPr>
          <w:rFonts w:ascii="Times New Roman" w:hAnsi="Times New Roman" w:cs="Times New Roman"/>
          <w:i/>
        </w:rPr>
      </w:pPr>
    </w:p>
    <w:p w:rsidR="005405BB" w:rsidRDefault="00C15B04">
      <w:pPr>
        <w:pStyle w:val="Norml1"/>
        <w:rPr>
          <w:rFonts w:ascii="Times New Roman" w:hAnsi="Times New Roman" w:cs="Times New Roman"/>
          <w:b/>
          <w:bCs/>
          <w:i/>
        </w:rPr>
      </w:pPr>
      <w:r>
        <w:br w:type="page"/>
      </w:r>
    </w:p>
    <w:p w:rsidR="005405BB" w:rsidRDefault="00EC0D1D">
      <w:pPr>
        <w:pStyle w:val="Norml1"/>
        <w:ind w:right="2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>A 64</w:t>
      </w:r>
      <w:r w:rsidR="00C15B04">
        <w:rPr>
          <w:rFonts w:ascii="Times New Roman" w:hAnsi="Times New Roman" w:cs="Times New Roman"/>
          <w:b/>
          <w:bCs/>
          <w:i/>
        </w:rPr>
        <w:t xml:space="preserve">/2017. (III.30.) </w:t>
      </w:r>
      <w:r w:rsidR="00C15B04">
        <w:rPr>
          <w:rFonts w:ascii="Times New Roman" w:hAnsi="Times New Roman" w:cs="Times New Roman"/>
          <w:b/>
          <w:i/>
          <w:color w:val="000000"/>
        </w:rPr>
        <w:t>számú határozat melléklete</w:t>
      </w:r>
    </w:p>
    <w:p w:rsidR="005405BB" w:rsidRDefault="00C15B04">
      <w:pPr>
        <w:pStyle w:val="Norml1"/>
        <w:ind w:left="-3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Alcsútdoboz Település Önkormányzat</w:t>
      </w:r>
    </w:p>
    <w:p w:rsidR="005405BB" w:rsidRDefault="00C15B04">
      <w:pPr>
        <w:pStyle w:val="Norml1"/>
        <w:ind w:left="-3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2017. évi közbeszerzési terve</w:t>
      </w:r>
    </w:p>
    <w:p w:rsidR="005405BB" w:rsidRDefault="00C15B04">
      <w:pPr>
        <w:pStyle w:val="Cmsor1"/>
        <w:shd w:val="clear" w:color="auto" w:fill="FFFFFF"/>
        <w:spacing w:before="0" w:after="0"/>
        <w:ind w:left="-3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222222"/>
          <w:sz w:val="22"/>
          <w:szCs w:val="22"/>
        </w:rPr>
        <w:t xml:space="preserve">2015. évi CXLIII. Törvény a közbeszerzésekről </w:t>
      </w:r>
      <w:r>
        <w:rPr>
          <w:rFonts w:ascii="Arial" w:hAnsi="Arial" w:cs="Arial"/>
          <w:b w:val="0"/>
          <w:sz w:val="22"/>
          <w:szCs w:val="22"/>
        </w:rPr>
        <w:t>42. § (1) bekezdése szerint az 5. § (1) bekezdésében meghatározott ajánlatkérők - a központi beszerző szervek kivételével - a költségvetési év elején, legkésőbb március 31. napjáig éves összesített közbeszerzési tervet (a továbbiakban: közbeszerzési terv) készítenek az adott évre tervezett közbeszerzéseikről. A közbeszerzési tervet az ajánlatkérő legalább öt évig megőrzi. A közbeszerzési terv nyilvános.</w:t>
      </w:r>
    </w:p>
    <w:p w:rsidR="005405BB" w:rsidRDefault="005405BB">
      <w:pPr>
        <w:pStyle w:val="Norml1"/>
        <w:jc w:val="center"/>
        <w:rPr>
          <w:rFonts w:ascii="Arial" w:hAnsi="Arial" w:cs="Arial"/>
          <w:b/>
        </w:rPr>
      </w:pPr>
    </w:p>
    <w:tbl>
      <w:tblPr>
        <w:tblW w:w="10890" w:type="dxa"/>
        <w:tblInd w:w="-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44"/>
        <w:gridCol w:w="2769"/>
        <w:gridCol w:w="1724"/>
        <w:gridCol w:w="2030"/>
        <w:gridCol w:w="2323"/>
      </w:tblGrid>
      <w:tr w:rsidR="005405BB"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közbeszerzés tárgya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Tervezett eljárástípus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Eljárás megindításának tervezett időpontja</w:t>
            </w:r>
          </w:p>
          <w:p w:rsidR="005405BB" w:rsidRDefault="00C15B04">
            <w:pPr>
              <w:pStyle w:val="Norm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(hónap)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Tervezett időtartam/határidő</w:t>
            </w:r>
          </w:p>
        </w:tc>
      </w:tr>
      <w:tr w:rsidR="005405BB"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spacing w:before="12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Árubeszerzések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</w:tr>
      <w:tr w:rsidR="005405BB"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spacing w:before="12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</w:tr>
      <w:tr w:rsidR="005405BB"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spacing w:before="12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</w:tr>
      <w:tr w:rsidR="005405BB"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spacing w:before="12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</w:tr>
      <w:tr w:rsidR="005405BB"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spacing w:before="12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Szolgáltatás megrendelések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</w:tr>
      <w:tr w:rsidR="005405BB"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spacing w:before="12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</w:tr>
      <w:tr w:rsidR="005405BB"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spacing w:before="12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</w:tr>
      <w:tr w:rsidR="005405BB"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spacing w:before="12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</w:tr>
      <w:tr w:rsidR="005405BB"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spacing w:before="12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Építési beruházások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Vállalkozási szerződés „</w:t>
            </w:r>
            <w:r>
              <w:rPr>
                <w:rFonts w:ascii="Arial" w:hAnsi="Arial" w:cs="Arial"/>
              </w:rPr>
              <w:t>Alcsútdobozi Egészségügyi Központ felújítására TOP-4.1.1-15-FE1</w:t>
            </w:r>
            <w:r>
              <w:rPr>
                <w:rFonts w:ascii="Arial" w:hAnsi="Arial" w:cs="Arial"/>
                <w:bCs/>
                <w:iCs/>
              </w:rPr>
              <w:t xml:space="preserve"> pályázati forrásból”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115. § (1)-(4)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március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április</w:t>
            </w:r>
          </w:p>
        </w:tc>
      </w:tr>
      <w:tr w:rsidR="005405BB"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spacing w:before="12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Vállalkozási szerződés a „József Nádor Általános Iskola épületeinek energetikai fejlesztésére TOP-3.2.1-15-FE1 pályázati forrásból”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115. § (1)-(4)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április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C15B04">
            <w:pPr>
              <w:pStyle w:val="Norml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május</w:t>
            </w:r>
          </w:p>
        </w:tc>
      </w:tr>
      <w:tr w:rsidR="005405BB"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right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</w:tr>
      <w:tr w:rsidR="005405BB"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</w:tr>
      <w:tr w:rsidR="005405BB"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  <w:p w:rsidR="005405BB" w:rsidRDefault="005405BB">
            <w:pPr>
              <w:pStyle w:val="Norml1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right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5BB" w:rsidRDefault="005405BB">
            <w:pPr>
              <w:pStyle w:val="Norml1"/>
              <w:jc w:val="center"/>
              <w:rPr>
                <w:rFonts w:ascii="Arial" w:hAnsi="Arial" w:cs="Arial"/>
              </w:rPr>
            </w:pPr>
          </w:p>
        </w:tc>
      </w:tr>
    </w:tbl>
    <w:p w:rsidR="005405BB" w:rsidRDefault="005405BB">
      <w:pPr>
        <w:pStyle w:val="Norml1"/>
        <w:ind w:left="-330"/>
        <w:jc w:val="both"/>
        <w:rPr>
          <w:rFonts w:ascii="Arial" w:hAnsi="Arial" w:cs="Arial"/>
          <w:bCs/>
        </w:rPr>
      </w:pPr>
    </w:p>
    <w:p w:rsidR="005405BB" w:rsidRDefault="005405BB">
      <w:pPr>
        <w:pStyle w:val="Norml1"/>
        <w:ind w:left="-330"/>
        <w:jc w:val="both"/>
        <w:rPr>
          <w:rFonts w:ascii="Arial" w:hAnsi="Arial" w:cs="Arial"/>
          <w:bCs/>
        </w:rPr>
      </w:pPr>
    </w:p>
    <w:p w:rsidR="005405BB" w:rsidRDefault="00C15B04">
      <w:pPr>
        <w:pStyle w:val="Norml1"/>
        <w:ind w:left="-3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 közbeszerzési tervet a Kbt. 43. § (1) bekezdése szerint ajánlatkérő köteles a Közbeszerzési Hatóság által működtetett Közbeszerzési Adatbázisban - amennyiben a Közbeszerzési Adatbázisban való közzététel nem lehetséges, a saját vagy a fenntartója honlapján – közzétenni.</w:t>
      </w:r>
    </w:p>
    <w:p w:rsidR="005405BB" w:rsidRDefault="005405BB">
      <w:pPr>
        <w:pStyle w:val="Norml1"/>
        <w:rPr>
          <w:rFonts w:ascii="Arial" w:hAnsi="Arial" w:cs="Arial"/>
          <w:b/>
        </w:rPr>
      </w:pPr>
    </w:p>
    <w:p w:rsidR="005405BB" w:rsidRDefault="00C15B04">
      <w:pPr>
        <w:pStyle w:val="Norml1"/>
        <w:ind w:left="-330"/>
        <w:rPr>
          <w:rFonts w:ascii="Arial" w:hAnsi="Arial" w:cs="Arial"/>
        </w:rPr>
        <w:sectPr w:rsidR="005405BB">
          <w:pgSz w:w="11906" w:h="16838"/>
          <w:pgMar w:top="993" w:right="1417" w:bottom="1134" w:left="1417" w:header="0" w:footer="0" w:gutter="0"/>
          <w:cols w:space="708"/>
          <w:formProt w:val="0"/>
          <w:docGrid w:linePitch="240" w:charSpace="-6145"/>
        </w:sectPr>
      </w:pPr>
      <w:r>
        <w:rPr>
          <w:rFonts w:ascii="Arial" w:hAnsi="Arial" w:cs="Arial"/>
        </w:rPr>
        <w:t>Kelt:</w:t>
      </w:r>
      <w:r w:rsidRPr="00C15B04">
        <w:rPr>
          <w:rFonts w:ascii="Arial" w:hAnsi="Arial" w:cs="Arial"/>
          <w:color w:val="000000" w:themeColor="text1"/>
        </w:rPr>
        <w:t xml:space="preserve">Alcsútdoboz, </w:t>
      </w:r>
      <w:r>
        <w:rPr>
          <w:rFonts w:ascii="Arial" w:hAnsi="Arial" w:cs="Arial"/>
        </w:rPr>
        <w:t>2017. március 10.</w:t>
      </w:r>
    </w:p>
    <w:p w:rsidR="005405BB" w:rsidRDefault="005405BB">
      <w:pPr>
        <w:pStyle w:val="Norml1"/>
        <w:tabs>
          <w:tab w:val="left" w:leader="dot" w:pos="1080"/>
          <w:tab w:val="left" w:leader="dot" w:pos="3240"/>
          <w:tab w:val="center" w:pos="4536"/>
          <w:tab w:val="right" w:pos="9072"/>
        </w:tabs>
      </w:pPr>
    </w:p>
    <w:sectPr w:rsidR="005405BB">
      <w:pgSz w:w="16838" w:h="11906" w:orient="landscape"/>
      <w:pgMar w:top="993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5405BB"/>
    <w:rsid w:val="00C15B04"/>
    <w:rsid w:val="00E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99479-6639-4DBC-978F-FA6FFC92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1"/>
    <w:link w:val="Cmsor1Char"/>
    <w:qFormat/>
    <w:rsid w:val="00405C17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193E79"/>
    <w:pPr>
      <w:suppressAutoHyphens/>
      <w:spacing w:line="240" w:lineRule="auto"/>
    </w:pPr>
    <w:rPr>
      <w:rFonts w:ascii="Thorndale" w:eastAsia="Andale Sans UI" w:hAnsi="Thorndale" w:cs="Mangal"/>
      <w:sz w:val="24"/>
      <w:szCs w:val="24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93E79"/>
    <w:rPr>
      <w:rFonts w:eastAsia="Times New Roman" w:cs="Times New Roman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93E79"/>
    <w:rPr>
      <w:b/>
      <w:bCs/>
    </w:rPr>
  </w:style>
  <w:style w:type="character" w:customStyle="1" w:styleId="apple-converted-space">
    <w:name w:val="apple-converted-space"/>
    <w:basedOn w:val="Bekezdsalapbettpusa"/>
    <w:rsid w:val="0048686D"/>
  </w:style>
  <w:style w:type="character" w:customStyle="1" w:styleId="Cmsor1Char">
    <w:name w:val="Címsor 1 Char"/>
    <w:basedOn w:val="Bekezdsalapbettpusa"/>
    <w:link w:val="Cmsor1"/>
    <w:rsid w:val="00405C17"/>
    <w:rPr>
      <w:rFonts w:eastAsia="Times New Roman" w:cs="Times New Roman"/>
      <w:b/>
      <w:bCs/>
      <w:sz w:val="48"/>
      <w:szCs w:val="48"/>
      <w:lang w:eastAsia="hu-HU"/>
    </w:rPr>
  </w:style>
  <w:style w:type="paragraph" w:customStyle="1" w:styleId="Cmsor">
    <w:name w:val="Címsor"/>
    <w:basedOn w:val="Norml1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1"/>
    <w:pPr>
      <w:spacing w:after="140" w:line="288" w:lineRule="auto"/>
    </w:pPr>
  </w:style>
  <w:style w:type="paragraph" w:styleId="Lista">
    <w:name w:val="List"/>
    <w:basedOn w:val="Szvegtrzs"/>
    <w:rPr>
      <w:rFonts w:ascii="Calibri" w:hAnsi="Calibri"/>
    </w:rPr>
  </w:style>
  <w:style w:type="paragraph" w:customStyle="1" w:styleId="Felirat">
    <w:name w:val="Felirat"/>
    <w:basedOn w:val="Norml1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Trgymutat">
    <w:name w:val="Tárgymutató"/>
    <w:basedOn w:val="Norml1"/>
    <w:pPr>
      <w:suppressLineNumbers/>
    </w:pPr>
    <w:rPr>
      <w:rFonts w:ascii="Calibri" w:hAnsi="Calibri"/>
    </w:rPr>
  </w:style>
  <w:style w:type="paragraph" w:styleId="Lbjegyzetszveg">
    <w:name w:val="footnote text"/>
    <w:basedOn w:val="Norml1"/>
    <w:link w:val="LbjegyzetszvegChar"/>
    <w:semiHidden/>
    <w:unhideWhenUsed/>
    <w:rsid w:val="00193E7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Barbara</cp:lastModifiedBy>
  <cp:revision>3</cp:revision>
  <dcterms:created xsi:type="dcterms:W3CDTF">2017-03-28T08:07:00Z</dcterms:created>
  <dcterms:modified xsi:type="dcterms:W3CDTF">2017-04-03T09:57:00Z</dcterms:modified>
  <dc:language>hu-HU</dc:language>
</cp:coreProperties>
</file>